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064" w14:textId="291E1FC2" w:rsidR="003E0090" w:rsidRDefault="003E0090" w:rsidP="00AE30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BISL</w:t>
      </w:r>
      <w:r w:rsidR="00587CCC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Y-WITH-LYPIATT NEIGHBOURHOOD PLAN</w:t>
      </w:r>
      <w:r w:rsidR="00960EAE">
        <w:rPr>
          <w:b/>
          <w:bCs/>
          <w:sz w:val="28"/>
          <w:szCs w:val="28"/>
        </w:rPr>
        <w:t xml:space="preserve"> </w:t>
      </w:r>
    </w:p>
    <w:p w14:paraId="2F7C1B34" w14:textId="6AFF6190" w:rsidR="00AE30D2" w:rsidRPr="00507E75" w:rsidRDefault="00AE30D2" w:rsidP="00AE30D2">
      <w:pPr>
        <w:rPr>
          <w:b/>
          <w:bCs/>
          <w:sz w:val="28"/>
          <w:szCs w:val="28"/>
        </w:rPr>
      </w:pPr>
      <w:r w:rsidRPr="00507E75">
        <w:rPr>
          <w:b/>
          <w:bCs/>
          <w:sz w:val="28"/>
          <w:szCs w:val="28"/>
        </w:rPr>
        <w:t xml:space="preserve">Summary of </w:t>
      </w:r>
      <w:r w:rsidR="00810985">
        <w:rPr>
          <w:b/>
          <w:bCs/>
          <w:sz w:val="28"/>
          <w:szCs w:val="28"/>
        </w:rPr>
        <w:t xml:space="preserve">the </w:t>
      </w:r>
      <w:r w:rsidRPr="00507E75">
        <w:rPr>
          <w:b/>
          <w:bCs/>
          <w:sz w:val="28"/>
          <w:szCs w:val="28"/>
        </w:rPr>
        <w:t>Regulation 14 Consultation</w:t>
      </w:r>
      <w:r w:rsidR="003E0090">
        <w:rPr>
          <w:b/>
          <w:bCs/>
          <w:sz w:val="28"/>
          <w:szCs w:val="28"/>
        </w:rPr>
        <w:t xml:space="preserve"> Response</w:t>
      </w:r>
    </w:p>
    <w:p w14:paraId="25F1A73A" w14:textId="4BBC06B5" w:rsidR="0073421E" w:rsidRDefault="0073421E" w:rsidP="0073421E">
      <w:r>
        <w:t xml:space="preserve">The consultation was held from </w:t>
      </w:r>
      <w:r w:rsidR="00623923">
        <w:t>October 13</w:t>
      </w:r>
      <w:r w:rsidR="00623923" w:rsidRPr="00623923">
        <w:rPr>
          <w:vertAlign w:val="superscript"/>
        </w:rPr>
        <w:t>th</w:t>
      </w:r>
      <w:r w:rsidR="00623923">
        <w:t xml:space="preserve"> for 7 weeks</w:t>
      </w:r>
      <w:r>
        <w:t xml:space="preserve"> to</w:t>
      </w:r>
      <w:r w:rsidR="00623923">
        <w:t xml:space="preserve"> November 28</w:t>
      </w:r>
      <w:r w:rsidR="00623923" w:rsidRPr="00623923">
        <w:rPr>
          <w:vertAlign w:val="superscript"/>
        </w:rPr>
        <w:t>th</w:t>
      </w:r>
      <w:r w:rsidR="00623923">
        <w:t xml:space="preserve"> 2025</w:t>
      </w:r>
      <w:r>
        <w:t xml:space="preserve"> to</w:t>
      </w:r>
      <w:r w:rsidR="00F34009">
        <w:t xml:space="preserve"> enable</w:t>
      </w:r>
      <w:r>
        <w:t xml:space="preserve"> </w:t>
      </w:r>
      <w:r w:rsidR="00F34009">
        <w:t xml:space="preserve">comments and </w:t>
      </w:r>
      <w:r>
        <w:t xml:space="preserve">responses to </w:t>
      </w:r>
      <w:r w:rsidR="00F34009">
        <w:t xml:space="preserve">be made to </w:t>
      </w:r>
      <w:r>
        <w:t>the draft of the Bisley-with-Lypiatt Neighbourhood Development Plan. We are very grateful to all those who took part.</w:t>
      </w:r>
    </w:p>
    <w:p w14:paraId="519B609D" w14:textId="49633170" w:rsidR="00C962E5" w:rsidRDefault="00C962E5" w:rsidP="0073421E">
      <w:r>
        <w:t xml:space="preserve">Many of the comments </w:t>
      </w:r>
      <w:r w:rsidR="00623923">
        <w:t xml:space="preserve">we received </w:t>
      </w:r>
      <w:r>
        <w:t xml:space="preserve">were </w:t>
      </w:r>
      <w:r w:rsidR="00623923">
        <w:t xml:space="preserve">both </w:t>
      </w:r>
      <w:r>
        <w:t>perceptive and helpful.</w:t>
      </w:r>
    </w:p>
    <w:p w14:paraId="70693E9B" w14:textId="1C7CB55C" w:rsidR="0073421E" w:rsidRDefault="0073421E" w:rsidP="0073421E">
      <w:r>
        <w:t xml:space="preserve">There were 139 responses to our survey form, most of them submitted online. </w:t>
      </w:r>
      <w:r w:rsidR="00F80A39">
        <w:t xml:space="preserve">137 of these were from within the Parish. We received responses from a wide cross section of our community including </w:t>
      </w:r>
      <w:r>
        <w:t xml:space="preserve">residents </w:t>
      </w:r>
      <w:r w:rsidR="00F80A39">
        <w:t xml:space="preserve">from all three main villages and satellite hamlets, </w:t>
      </w:r>
      <w:r>
        <w:t>landowners, two schools, farmers and local businesses within the parish.</w:t>
      </w:r>
      <w:r w:rsidR="001969FF">
        <w:t xml:space="preserve"> Consequently we have very high confidence that we have received a genuinely representative response from a broad cross section of our community </w:t>
      </w:r>
      <w:r w:rsidR="00623923">
        <w:t>which</w:t>
      </w:r>
      <w:r w:rsidR="001969FF">
        <w:t xml:space="preserve"> </w:t>
      </w:r>
      <w:r w:rsidR="00234548">
        <w:t xml:space="preserve">provides </w:t>
      </w:r>
      <w:r w:rsidR="00C962E5">
        <w:t xml:space="preserve">considerable </w:t>
      </w:r>
      <w:r w:rsidR="00E95263">
        <w:t>credibility</w:t>
      </w:r>
      <w:r w:rsidR="00C962E5">
        <w:t xml:space="preserve"> for the amended final version our Neighbourhood Plan.</w:t>
      </w:r>
    </w:p>
    <w:p w14:paraId="0FA92F34" w14:textId="24B4EB8A" w:rsidR="0073421E" w:rsidRDefault="001969FF" w:rsidP="0073421E">
      <w:r>
        <w:t>We also received</w:t>
      </w:r>
      <w:r w:rsidR="0073421E">
        <w:t xml:space="preserve"> responses from statutory consultees</w:t>
      </w:r>
      <w:r>
        <w:t>, which are addressed later in this summary.</w:t>
      </w:r>
    </w:p>
    <w:p w14:paraId="3F3FC68A" w14:textId="58FE1372" w:rsidR="0073421E" w:rsidRPr="00507E75" w:rsidRDefault="0073421E" w:rsidP="0073421E">
      <w:pPr>
        <w:rPr>
          <w:b/>
          <w:bCs/>
          <w:sz w:val="28"/>
          <w:szCs w:val="28"/>
        </w:rPr>
      </w:pPr>
      <w:r w:rsidRPr="00507E75">
        <w:rPr>
          <w:b/>
          <w:bCs/>
          <w:sz w:val="28"/>
          <w:szCs w:val="28"/>
        </w:rPr>
        <w:t>T</w:t>
      </w:r>
      <w:r w:rsidR="00F80A39" w:rsidRPr="00507E75">
        <w:rPr>
          <w:b/>
          <w:bCs/>
          <w:sz w:val="28"/>
          <w:szCs w:val="28"/>
        </w:rPr>
        <w:t>he Re</w:t>
      </w:r>
      <w:r w:rsidR="00927EDA" w:rsidRPr="00507E75">
        <w:rPr>
          <w:b/>
          <w:bCs/>
          <w:sz w:val="28"/>
          <w:szCs w:val="28"/>
        </w:rPr>
        <w:t>s</w:t>
      </w:r>
      <w:r w:rsidR="00F80A39" w:rsidRPr="00507E75">
        <w:rPr>
          <w:b/>
          <w:bCs/>
          <w:sz w:val="28"/>
          <w:szCs w:val="28"/>
        </w:rPr>
        <w:t>ults</w:t>
      </w:r>
    </w:p>
    <w:p w14:paraId="6801C2D8" w14:textId="3005C03A" w:rsidR="0073421E" w:rsidRDefault="0073421E" w:rsidP="0073421E">
      <w:r>
        <w:t>Responses to the survey showed a large majority of residents in support of the draft Plan. Many expressed their appreciation for the hard work and attention to detail that had gone into its preparation.</w:t>
      </w:r>
    </w:p>
    <w:p w14:paraId="32741464" w14:textId="1EFF68BC" w:rsidR="003B20BE" w:rsidRDefault="000B4270" w:rsidP="0073421E">
      <w:r w:rsidRPr="000B4270">
        <w:rPr>
          <w:noProof/>
          <w:lang w:eastAsia="en-GB"/>
        </w:rPr>
        <w:drawing>
          <wp:inline distT="0" distB="0" distL="0" distR="0" wp14:anchorId="4761BF9A" wp14:editId="6794D70F">
            <wp:extent cx="5731510" cy="9234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2B271" w14:textId="6FEE6E86" w:rsidR="0073421E" w:rsidRDefault="0073421E" w:rsidP="002B731A">
      <w:pPr>
        <w:spacing w:line="360" w:lineRule="auto"/>
      </w:pPr>
      <w:r>
        <w:t xml:space="preserve">There was overwhelming support for maintaining Bisley-with-Lypiatt’s rural character, and </w:t>
      </w:r>
      <w:r w:rsidR="00540710">
        <w:t xml:space="preserve">the </w:t>
      </w:r>
      <w:r>
        <w:t>protection of our landscape and wildlife habitats.</w:t>
      </w:r>
    </w:p>
    <w:p w14:paraId="7AAF6B16" w14:textId="372B4E65" w:rsidR="0073421E" w:rsidRDefault="0073421E" w:rsidP="0073421E">
      <w:r>
        <w:t xml:space="preserve">We have listed </w:t>
      </w:r>
      <w:r w:rsidR="00F80A39">
        <w:t>below a summary of the main issues raised by respondents</w:t>
      </w:r>
      <w:r w:rsidR="00332060">
        <w:t xml:space="preserve"> </w:t>
      </w:r>
      <w:r w:rsidR="00F80A39">
        <w:t>to each policy</w:t>
      </w:r>
      <w:r w:rsidR="00810985">
        <w:t xml:space="preserve"> and the actions taken.</w:t>
      </w:r>
    </w:p>
    <w:p w14:paraId="2E064BE7" w14:textId="0D480B36" w:rsidR="00330570" w:rsidRPr="00332060" w:rsidRDefault="00330570" w:rsidP="0073421E">
      <w:pPr>
        <w:rPr>
          <w:b/>
          <w:bCs/>
          <w:sz w:val="28"/>
          <w:szCs w:val="28"/>
        </w:rPr>
      </w:pPr>
      <w:r w:rsidRPr="00332060">
        <w:rPr>
          <w:b/>
          <w:bCs/>
          <w:sz w:val="28"/>
          <w:szCs w:val="28"/>
        </w:rPr>
        <w:t>Chapter 6 Landscape</w:t>
      </w:r>
    </w:p>
    <w:p w14:paraId="36AC21FB" w14:textId="5175E2E4" w:rsidR="0073421E" w:rsidRPr="005851E5" w:rsidRDefault="00330570" w:rsidP="0073421E">
      <w:pPr>
        <w:rPr>
          <w:b/>
          <w:bCs/>
        </w:rPr>
      </w:pPr>
      <w:r w:rsidRPr="005851E5">
        <w:rPr>
          <w:b/>
          <w:bCs/>
        </w:rPr>
        <w:t>Policy BWL L1 Landscape Character</w:t>
      </w:r>
      <w:r w:rsidR="0073421E" w:rsidRPr="005851E5">
        <w:rPr>
          <w:b/>
          <w:bCs/>
        </w:rPr>
        <w:t xml:space="preserve"> </w:t>
      </w:r>
    </w:p>
    <w:p w14:paraId="0DA52EEA" w14:textId="17B0B161" w:rsidR="00330570" w:rsidRDefault="0073421E" w:rsidP="0073421E">
      <w:r>
        <w:t xml:space="preserve">Comments showed strong support for policies to </w:t>
      </w:r>
      <w:r w:rsidR="00330570">
        <w:t>protect our landscape and that development should protect and enhance the particular characteristics of our landscape.</w:t>
      </w:r>
      <w:r w:rsidR="00561834" w:rsidRPr="00561834">
        <w:t xml:space="preserve"> </w:t>
      </w:r>
      <w:r w:rsidR="00561834">
        <w:t>This is at the heart of the draft Plan and received overwhelming support, though a number of respo</w:t>
      </w:r>
      <w:r w:rsidR="00960BF9">
        <w:t>n</w:t>
      </w:r>
      <w:r w:rsidR="00561834">
        <w:t>dents thought it should be even more restrictive of new development.</w:t>
      </w:r>
    </w:p>
    <w:p w14:paraId="06EA8A0F" w14:textId="77777777" w:rsidR="00330570" w:rsidRPr="005851E5" w:rsidRDefault="00330570" w:rsidP="0073421E">
      <w:pPr>
        <w:rPr>
          <w:b/>
          <w:bCs/>
        </w:rPr>
      </w:pPr>
      <w:r w:rsidRPr="005851E5">
        <w:rPr>
          <w:b/>
          <w:bCs/>
        </w:rPr>
        <w:t>Policy BWL L2 Important Local Views</w:t>
      </w:r>
    </w:p>
    <w:p w14:paraId="04A05EBF" w14:textId="2228202A" w:rsidR="0073421E" w:rsidRDefault="00330570" w:rsidP="0073421E">
      <w:r>
        <w:t>Comments indicated strong support for the designation of Important Local views. A number of r</w:t>
      </w:r>
      <w:r w:rsidR="0073421E">
        <w:t xml:space="preserve">espondents </w:t>
      </w:r>
      <w:r>
        <w:t xml:space="preserve">suggested additional views, which have been reviewed </w:t>
      </w:r>
      <w:r w:rsidR="00960BF9">
        <w:t xml:space="preserve">by the Steering Group </w:t>
      </w:r>
      <w:r>
        <w:t xml:space="preserve">and </w:t>
      </w:r>
      <w:r w:rsidR="00127583">
        <w:t xml:space="preserve">where it is felt they have met designation criteria they </w:t>
      </w:r>
      <w:r w:rsidR="00960BF9">
        <w:t xml:space="preserve">have been </w:t>
      </w:r>
      <w:r>
        <w:t>incorporated into the amended Regulation 16 version</w:t>
      </w:r>
      <w:r w:rsidR="00127583">
        <w:t xml:space="preserve"> of the Plan.</w:t>
      </w:r>
    </w:p>
    <w:p w14:paraId="5CAF4731" w14:textId="4DAC0F53" w:rsidR="00CE1BCA" w:rsidRPr="005851E5" w:rsidRDefault="00CE1BCA" w:rsidP="0073421E">
      <w:pPr>
        <w:rPr>
          <w:b/>
          <w:bCs/>
        </w:rPr>
      </w:pPr>
      <w:r w:rsidRPr="005851E5">
        <w:rPr>
          <w:b/>
          <w:bCs/>
        </w:rPr>
        <w:lastRenderedPageBreak/>
        <w:t>Policy BWL l3 Local Green Spaces</w:t>
      </w:r>
    </w:p>
    <w:p w14:paraId="6B48E394" w14:textId="0B624CC8" w:rsidR="00CE1BCA" w:rsidRDefault="00CE1BCA" w:rsidP="0073421E">
      <w:r>
        <w:t xml:space="preserve">There was strong support from respondents for the protection and designation of local green spaces. Many Bisley respondents requested the inclusion of </w:t>
      </w:r>
      <w:r w:rsidR="00876467">
        <w:t xml:space="preserve">the </w:t>
      </w:r>
      <w:r>
        <w:t>Chestergate</w:t>
      </w:r>
      <w:r w:rsidR="006F3BF6">
        <w:t xml:space="preserve"> </w:t>
      </w:r>
      <w:r>
        <w:t>Allotments as a Local green spa</w:t>
      </w:r>
      <w:r w:rsidR="00C2250A">
        <w:t>ce</w:t>
      </w:r>
      <w:r w:rsidR="00AB42DD">
        <w:t xml:space="preserve">, however the Charity Trustees </w:t>
      </w:r>
      <w:r w:rsidR="00876467">
        <w:t>declined</w:t>
      </w:r>
      <w:r w:rsidR="00AB42DD">
        <w:t xml:space="preserve"> consent </w:t>
      </w:r>
      <w:r w:rsidR="00DA3401">
        <w:t>for designation so this has been identifie</w:t>
      </w:r>
      <w:r w:rsidR="00876467">
        <w:t>d</w:t>
      </w:r>
      <w:r w:rsidR="00DA3401">
        <w:t xml:space="preserve"> as </w:t>
      </w:r>
      <w:r w:rsidR="00876467">
        <w:t xml:space="preserve">an important </w:t>
      </w:r>
      <w:r w:rsidR="00073442">
        <w:t xml:space="preserve">area of green </w:t>
      </w:r>
      <w:r w:rsidR="00876467">
        <w:t>space</w:t>
      </w:r>
      <w:bookmarkStart w:id="0" w:name="_Hlk219629960"/>
      <w:r w:rsidR="00876467">
        <w:t xml:space="preserve"> </w:t>
      </w:r>
      <w:r>
        <w:t xml:space="preserve">in the revised Regulation 16 version </w:t>
      </w:r>
      <w:bookmarkEnd w:id="0"/>
      <w:r>
        <w:t xml:space="preserve">of the </w:t>
      </w:r>
      <w:r w:rsidR="00127583">
        <w:t>Plan</w:t>
      </w:r>
      <w:r w:rsidR="00876467">
        <w:t xml:space="preserve">, as has the Feeofees field in Bisley for similar reasons. </w:t>
      </w:r>
      <w:r>
        <w:t xml:space="preserve">Other </w:t>
      </w:r>
      <w:r w:rsidR="00127583">
        <w:t xml:space="preserve">open green </w:t>
      </w:r>
      <w:r>
        <w:t xml:space="preserve">spaces were nominated by residents, which have all been reviewed and </w:t>
      </w:r>
      <w:r w:rsidR="00927EDA">
        <w:t>where it is felt they meet designation criteria</w:t>
      </w:r>
      <w:r w:rsidR="00127583">
        <w:t xml:space="preserve"> </w:t>
      </w:r>
      <w:r w:rsidR="00927EDA">
        <w:t>have</w:t>
      </w:r>
      <w:r w:rsidR="00876467">
        <w:t xml:space="preserve"> been </w:t>
      </w:r>
      <w:r>
        <w:t>incorporated</w:t>
      </w:r>
      <w:r w:rsidRPr="00CE1BCA">
        <w:t xml:space="preserve"> </w:t>
      </w:r>
      <w:r>
        <w:t>in the revised Regulation 16 version</w:t>
      </w:r>
      <w:r w:rsidR="00127583">
        <w:t xml:space="preserve"> of the Plan.</w:t>
      </w:r>
    </w:p>
    <w:p w14:paraId="26CDB0D0" w14:textId="68EF00A5" w:rsidR="00330570" w:rsidRPr="00332060" w:rsidRDefault="00330570" w:rsidP="0073421E">
      <w:pPr>
        <w:rPr>
          <w:b/>
          <w:bCs/>
          <w:sz w:val="28"/>
          <w:szCs w:val="28"/>
        </w:rPr>
      </w:pPr>
      <w:r w:rsidRPr="00332060">
        <w:rPr>
          <w:b/>
          <w:bCs/>
          <w:sz w:val="28"/>
          <w:szCs w:val="28"/>
        </w:rPr>
        <w:t>Chapter 7 Biodiversity, Wildlife and Nature Recovery</w:t>
      </w:r>
    </w:p>
    <w:p w14:paraId="26AFF9D1" w14:textId="65A8FE25" w:rsidR="00330570" w:rsidRPr="00CE1BCA" w:rsidRDefault="00330570" w:rsidP="0073421E">
      <w:pPr>
        <w:rPr>
          <w:b/>
          <w:bCs/>
        </w:rPr>
      </w:pPr>
      <w:r w:rsidRPr="00CE1BCA">
        <w:rPr>
          <w:b/>
          <w:bCs/>
        </w:rPr>
        <w:t>Policy BWL W1 Wildlife</w:t>
      </w:r>
    </w:p>
    <w:p w14:paraId="31EAC621" w14:textId="1157E975" w:rsidR="00DA7C66" w:rsidRDefault="00DA7C66" w:rsidP="0073421E">
      <w:r>
        <w:t>Respondents were very supportive of the protection of our wildlife and the range of habit</w:t>
      </w:r>
      <w:r w:rsidR="00C2250A">
        <w:t>at</w:t>
      </w:r>
      <w:r>
        <w:t xml:space="preserve">s, large and small that are vital to supporting wildlife. There were useful suggestions to include insects, butterflies and moths as well as larger wildlife species. </w:t>
      </w:r>
    </w:p>
    <w:p w14:paraId="38CCC5DE" w14:textId="77777777" w:rsidR="00DA7C66" w:rsidRPr="00CE1BCA" w:rsidRDefault="00DA7C66" w:rsidP="0073421E">
      <w:pPr>
        <w:rPr>
          <w:b/>
          <w:bCs/>
        </w:rPr>
      </w:pPr>
      <w:r w:rsidRPr="00CE1BCA">
        <w:rPr>
          <w:b/>
          <w:bCs/>
        </w:rPr>
        <w:t>Policy BWL W3 Dark Skies and Lighting Schemes</w:t>
      </w:r>
    </w:p>
    <w:p w14:paraId="175F8095" w14:textId="74A3F68E" w:rsidR="0073421E" w:rsidRDefault="00DA7C66" w:rsidP="0073421E">
      <w:r>
        <w:t>There was clear support for protecting our dark skies and mitigating the effects of light pollution.</w:t>
      </w:r>
      <w:r w:rsidR="00C2250A">
        <w:t xml:space="preserve"> There was some concern that there were no ‘ objective ‘ ways to ‘ measure ‘ proposals which the Steering Group acknowledge but felt it was very difficult to monitor and enforce effectively.</w:t>
      </w:r>
    </w:p>
    <w:p w14:paraId="3DBE1D41" w14:textId="137782C4" w:rsidR="00DA7C66" w:rsidRPr="00332060" w:rsidRDefault="00DA7C66" w:rsidP="0073421E">
      <w:pPr>
        <w:rPr>
          <w:b/>
          <w:bCs/>
          <w:sz w:val="28"/>
          <w:szCs w:val="28"/>
        </w:rPr>
      </w:pPr>
      <w:r w:rsidRPr="00332060">
        <w:rPr>
          <w:b/>
          <w:bCs/>
          <w:sz w:val="28"/>
          <w:szCs w:val="28"/>
        </w:rPr>
        <w:t>Chapter 8 Settlement Pattern, Development Form, Housing and Design</w:t>
      </w:r>
    </w:p>
    <w:p w14:paraId="71CF18B6" w14:textId="49237EFD" w:rsidR="00DA7C66" w:rsidRDefault="00DA7C66" w:rsidP="0073421E">
      <w:pPr>
        <w:rPr>
          <w:b/>
          <w:bCs/>
        </w:rPr>
      </w:pPr>
      <w:r w:rsidRPr="00DA7C66">
        <w:rPr>
          <w:b/>
          <w:bCs/>
        </w:rPr>
        <w:t>Policy BWL SD</w:t>
      </w:r>
      <w:r w:rsidR="0035069D">
        <w:rPr>
          <w:b/>
          <w:bCs/>
        </w:rPr>
        <w:t>1</w:t>
      </w:r>
      <w:r w:rsidRPr="00DA7C66">
        <w:rPr>
          <w:b/>
          <w:bCs/>
        </w:rPr>
        <w:t xml:space="preserve"> Design and Development</w:t>
      </w:r>
    </w:p>
    <w:p w14:paraId="4B66ECF1" w14:textId="391EFE0D" w:rsidR="00DA7C66" w:rsidRDefault="00DA7C66" w:rsidP="0073421E">
      <w:r>
        <w:t xml:space="preserve">Most felt new development should be small in scale and within the village settlement boundaries though </w:t>
      </w:r>
      <w:r w:rsidR="00C2250A">
        <w:t xml:space="preserve">some respondents </w:t>
      </w:r>
      <w:r>
        <w:t>were against any new housing development at all.</w:t>
      </w:r>
      <w:bookmarkStart w:id="1" w:name="_Hlk219629356"/>
    </w:p>
    <w:bookmarkEnd w:id="1"/>
    <w:p w14:paraId="49693C92" w14:textId="64DE5D8A" w:rsidR="0035069D" w:rsidRDefault="0035069D" w:rsidP="0073421E">
      <w:r>
        <w:t>There was little support for development outside of the village settlement boundaries except where delivering small scale genuinely affordable housing for local needs.</w:t>
      </w:r>
    </w:p>
    <w:p w14:paraId="363ED1DB" w14:textId="45D619EE" w:rsidR="0035069D" w:rsidRDefault="0035069D" w:rsidP="0073421E">
      <w:r>
        <w:t xml:space="preserve">Respondents supported contextual architecture with some making the point that good contemporary architecture </w:t>
      </w:r>
      <w:r w:rsidR="00C2250A">
        <w:t>can also meet this objective.</w:t>
      </w:r>
    </w:p>
    <w:p w14:paraId="7127B995" w14:textId="1A806F9E" w:rsidR="0035069D" w:rsidRDefault="0035069D" w:rsidP="0073421E">
      <w:pPr>
        <w:rPr>
          <w:b/>
          <w:bCs/>
        </w:rPr>
      </w:pPr>
      <w:r w:rsidRPr="0035069D">
        <w:rPr>
          <w:b/>
          <w:bCs/>
        </w:rPr>
        <w:t>Policy SD2 Meeting Housing Need</w:t>
      </w:r>
    </w:p>
    <w:p w14:paraId="50470059" w14:textId="6B4E069C" w:rsidR="0035069D" w:rsidRDefault="0035069D" w:rsidP="0073421E">
      <w:r>
        <w:t>Many respondents stressed the importance of building homes that are genuinely affordable for local people to meet our particular housing needs.</w:t>
      </w:r>
      <w:r w:rsidR="007C5E9F">
        <w:t xml:space="preserve"> There were suggestions regarding the provision of more smaller housing by supporting sensitive splitting up of larger houses.</w:t>
      </w:r>
    </w:p>
    <w:p w14:paraId="02776478" w14:textId="37AB58BF" w:rsidR="0035069D" w:rsidRPr="00332060" w:rsidRDefault="0035069D" w:rsidP="0073421E">
      <w:pPr>
        <w:rPr>
          <w:b/>
          <w:bCs/>
          <w:sz w:val="28"/>
          <w:szCs w:val="28"/>
        </w:rPr>
      </w:pPr>
      <w:r w:rsidRPr="00332060">
        <w:rPr>
          <w:b/>
          <w:bCs/>
          <w:sz w:val="28"/>
          <w:szCs w:val="28"/>
        </w:rPr>
        <w:t>Chapter 9 Local Heritage</w:t>
      </w:r>
    </w:p>
    <w:p w14:paraId="7E1855B0" w14:textId="26822F7A" w:rsidR="0035069D" w:rsidRPr="00C2250A" w:rsidRDefault="0035069D" w:rsidP="0073421E">
      <w:r w:rsidRPr="00CE1BCA">
        <w:rPr>
          <w:b/>
          <w:bCs/>
        </w:rPr>
        <w:t>Policy BWL LH1</w:t>
      </w:r>
    </w:p>
    <w:p w14:paraId="7C474F5C" w14:textId="35515F3F" w:rsidR="0035069D" w:rsidRDefault="0035069D" w:rsidP="0073421E">
      <w:r>
        <w:t xml:space="preserve">There was strong support from respondents for the protection our built heritage and a large majority were in favour of </w:t>
      </w:r>
      <w:r w:rsidR="00CE1BCA">
        <w:t xml:space="preserve">the inclusion of Non </w:t>
      </w:r>
      <w:r w:rsidR="00127583">
        <w:t>D</w:t>
      </w:r>
      <w:r w:rsidR="00CE1BCA">
        <w:t xml:space="preserve">esignated </w:t>
      </w:r>
      <w:r w:rsidR="00127583">
        <w:t>H</w:t>
      </w:r>
      <w:r w:rsidR="00CE1BCA">
        <w:t xml:space="preserve">eritage </w:t>
      </w:r>
      <w:r w:rsidR="00127583">
        <w:t>A</w:t>
      </w:r>
      <w:r w:rsidR="00CE1BCA">
        <w:t>ssets</w:t>
      </w:r>
      <w:r w:rsidR="00B205EA">
        <w:t xml:space="preserve">. </w:t>
      </w:r>
      <w:bookmarkStart w:id="2" w:name="_Hlk219630990"/>
    </w:p>
    <w:bookmarkEnd w:id="2"/>
    <w:p w14:paraId="5DBF103B" w14:textId="05DE86AC" w:rsidR="006A31D7" w:rsidRPr="00332060" w:rsidRDefault="006A31D7" w:rsidP="0073421E">
      <w:pPr>
        <w:rPr>
          <w:b/>
          <w:bCs/>
          <w:sz w:val="28"/>
          <w:szCs w:val="28"/>
        </w:rPr>
      </w:pPr>
      <w:r w:rsidRPr="00332060">
        <w:rPr>
          <w:b/>
          <w:bCs/>
          <w:sz w:val="28"/>
          <w:szCs w:val="28"/>
        </w:rPr>
        <w:t>Chapter 10 Highways, Transport and Sustainable Movement.</w:t>
      </w:r>
    </w:p>
    <w:p w14:paraId="0C0082F7" w14:textId="536ED8F4" w:rsidR="006A31D7" w:rsidRDefault="006A31D7" w:rsidP="0073421E">
      <w:pPr>
        <w:rPr>
          <w:b/>
          <w:bCs/>
        </w:rPr>
      </w:pPr>
      <w:r>
        <w:rPr>
          <w:b/>
          <w:bCs/>
        </w:rPr>
        <w:t>Policy BWL HT1 Getting around by bus, bike or on foot.</w:t>
      </w:r>
    </w:p>
    <w:p w14:paraId="78E6CB64" w14:textId="5E0AEB95" w:rsidR="006A31D7" w:rsidRDefault="006A31D7" w:rsidP="0073421E">
      <w:r>
        <w:lastRenderedPageBreak/>
        <w:t>The majority of respondents</w:t>
      </w:r>
      <w:r w:rsidR="003B20BE">
        <w:t>’</w:t>
      </w:r>
      <w:r>
        <w:t xml:space="preserve"> comments were regarding speeding, vehicular traffic levels, and the effect of traffic on the protection of our verges and rural setting. </w:t>
      </w:r>
      <w:r w:rsidR="00960EAE">
        <w:t xml:space="preserve">There was also support for safe cycle routes linking our three villages. </w:t>
      </w:r>
      <w:r>
        <w:t xml:space="preserve">Some of but not all </w:t>
      </w:r>
      <w:r w:rsidR="0087088F">
        <w:t>o</w:t>
      </w:r>
      <w:r w:rsidR="005851E5">
        <w:t xml:space="preserve">f </w:t>
      </w:r>
      <w:r>
        <w:t xml:space="preserve">these concerns can be actively addressed through </w:t>
      </w:r>
      <w:r w:rsidR="005851E5">
        <w:t>our</w:t>
      </w:r>
      <w:r>
        <w:t xml:space="preserve"> Neigh</w:t>
      </w:r>
      <w:r w:rsidR="005851E5">
        <w:t>b</w:t>
      </w:r>
      <w:r>
        <w:t xml:space="preserve">ourhood </w:t>
      </w:r>
      <w:r w:rsidR="005851E5">
        <w:t>Plan.</w:t>
      </w:r>
      <w:r w:rsidR="0087088F">
        <w:t xml:space="preserve"> Protection and improved accessibility to of our network of PROW’s was also seen as important.</w:t>
      </w:r>
      <w:r w:rsidR="007C5E9F" w:rsidRPr="007C5E9F">
        <w:t xml:space="preserve"> </w:t>
      </w:r>
      <w:r w:rsidR="007C5E9F">
        <w:t>Villagers valued the existing network and supported its expansion a</w:t>
      </w:r>
      <w:r w:rsidR="003B20BE">
        <w:t>nd improvement. The Wysis Way ‘</w:t>
      </w:r>
      <w:r w:rsidR="007C5E9F">
        <w:t>missing link</w:t>
      </w:r>
      <w:r w:rsidR="003B20BE">
        <w:t>’</w:t>
      </w:r>
      <w:r w:rsidR="007C5E9F">
        <w:t xml:space="preserve"> in Bisley has now been incorporated as a project within the</w:t>
      </w:r>
      <w:r w:rsidR="001032E0" w:rsidRPr="001032E0">
        <w:t xml:space="preserve"> </w:t>
      </w:r>
      <w:r w:rsidR="001032E0">
        <w:t>revised Regulation 16 version.</w:t>
      </w:r>
    </w:p>
    <w:p w14:paraId="051885F0" w14:textId="7FAA0D34" w:rsidR="005851E5" w:rsidRPr="00332060" w:rsidRDefault="005851E5" w:rsidP="0073421E">
      <w:pPr>
        <w:rPr>
          <w:b/>
          <w:bCs/>
          <w:sz w:val="28"/>
          <w:szCs w:val="28"/>
        </w:rPr>
      </w:pPr>
      <w:r w:rsidRPr="00332060">
        <w:rPr>
          <w:b/>
          <w:bCs/>
          <w:sz w:val="28"/>
          <w:szCs w:val="28"/>
        </w:rPr>
        <w:t>Chapter 11 Climate Change, Resilience and Energy</w:t>
      </w:r>
    </w:p>
    <w:p w14:paraId="2C8ACDE5" w14:textId="70831072" w:rsidR="005851E5" w:rsidRDefault="005851E5" w:rsidP="0073421E">
      <w:pPr>
        <w:rPr>
          <w:b/>
          <w:bCs/>
        </w:rPr>
      </w:pPr>
      <w:r>
        <w:rPr>
          <w:b/>
          <w:bCs/>
        </w:rPr>
        <w:t>Policy CC1 Retrofitting Existing Buildings to improve Energy Efficiency</w:t>
      </w:r>
    </w:p>
    <w:p w14:paraId="486E5E00" w14:textId="27BF2EE8" w:rsidR="005851E5" w:rsidRDefault="005851E5" w:rsidP="005851E5">
      <w:r>
        <w:t xml:space="preserve">There was support from respondents to secure </w:t>
      </w:r>
      <w:r w:rsidR="008732EA">
        <w:t>a</w:t>
      </w:r>
      <w:r>
        <w:t xml:space="preserve"> sustainable future </w:t>
      </w:r>
      <w:r w:rsidR="008732EA">
        <w:t>for our heritage buildings. There were comments that requested a more supportive approach to retrofit proposals for heritage buildings, particularly regarding the installation of energy efficiency measures.</w:t>
      </w:r>
    </w:p>
    <w:p w14:paraId="5A9D8643" w14:textId="77C0B9A5" w:rsidR="005851E5" w:rsidRDefault="005851E5" w:rsidP="0073421E">
      <w:pPr>
        <w:rPr>
          <w:b/>
          <w:bCs/>
        </w:rPr>
      </w:pPr>
      <w:r>
        <w:rPr>
          <w:b/>
          <w:bCs/>
        </w:rPr>
        <w:t>Policy CC2 Renewable or Low Carbon Energy Generation</w:t>
      </w:r>
    </w:p>
    <w:p w14:paraId="2EF6278E" w14:textId="0A6A6564" w:rsidR="00561834" w:rsidRDefault="005851E5" w:rsidP="0073421E">
      <w:r>
        <w:t xml:space="preserve">This proved the most contentious policy, particularly regarding wind generated energy and the </w:t>
      </w:r>
      <w:r w:rsidR="008F0415">
        <w:t>e</w:t>
      </w:r>
      <w:r>
        <w:t>ffect turbines would have on our landscape. Residents</w:t>
      </w:r>
      <w:r w:rsidR="002B1EA5">
        <w:t>’</w:t>
      </w:r>
      <w:r>
        <w:t xml:space="preserve"> concerns have been addressed by amendments to this policy and the supporting text</w:t>
      </w:r>
      <w:r w:rsidR="0087088F">
        <w:t xml:space="preserve"> that strengthen landscape protection whilst rem</w:t>
      </w:r>
      <w:r w:rsidR="00623923">
        <w:t>a</w:t>
      </w:r>
      <w:r w:rsidR="0087088F">
        <w:t>ining aligned with District and National planning policy. T</w:t>
      </w:r>
      <w:r>
        <w:t xml:space="preserve">he principle of renewable energy as part our future was supported by </w:t>
      </w:r>
      <w:r w:rsidR="00D966F4">
        <w:t>a</w:t>
      </w:r>
      <w:r>
        <w:t xml:space="preserve"> majority of respond</w:t>
      </w:r>
      <w:r w:rsidR="00D966F4">
        <w:t>ents.</w:t>
      </w:r>
    </w:p>
    <w:p w14:paraId="3742A842" w14:textId="20B206F5" w:rsidR="00561834" w:rsidRPr="00332060" w:rsidRDefault="00561834" w:rsidP="0073421E">
      <w:pPr>
        <w:rPr>
          <w:b/>
          <w:bCs/>
          <w:sz w:val="28"/>
          <w:szCs w:val="28"/>
        </w:rPr>
      </w:pPr>
      <w:r w:rsidRPr="00332060">
        <w:rPr>
          <w:b/>
          <w:bCs/>
          <w:sz w:val="28"/>
          <w:szCs w:val="28"/>
        </w:rPr>
        <w:t>Chapter 12 Economy</w:t>
      </w:r>
    </w:p>
    <w:p w14:paraId="07A7AF91" w14:textId="13C1F6CA" w:rsidR="00561834" w:rsidRDefault="00561834" w:rsidP="0073421E">
      <w:pPr>
        <w:rPr>
          <w:b/>
          <w:bCs/>
        </w:rPr>
      </w:pPr>
      <w:r w:rsidRPr="00561834">
        <w:rPr>
          <w:b/>
          <w:bCs/>
        </w:rPr>
        <w:t>Policy BWL E1 Existing and New Bus</w:t>
      </w:r>
      <w:r w:rsidR="008575A9">
        <w:rPr>
          <w:b/>
          <w:bCs/>
        </w:rPr>
        <w:t>i</w:t>
      </w:r>
      <w:r w:rsidRPr="00561834">
        <w:rPr>
          <w:b/>
          <w:bCs/>
        </w:rPr>
        <w:t>ne</w:t>
      </w:r>
      <w:r w:rsidR="008575A9">
        <w:rPr>
          <w:b/>
          <w:bCs/>
        </w:rPr>
        <w:t>s</w:t>
      </w:r>
      <w:r w:rsidRPr="00561834">
        <w:rPr>
          <w:b/>
          <w:bCs/>
        </w:rPr>
        <w:t>ses</w:t>
      </w:r>
    </w:p>
    <w:p w14:paraId="6ECD65C0" w14:textId="10C99BB4" w:rsidR="003E35E7" w:rsidRDefault="003E35E7" w:rsidP="0073421E">
      <w:r w:rsidRPr="003E35E7">
        <w:t xml:space="preserve">There was </w:t>
      </w:r>
      <w:r>
        <w:t xml:space="preserve">support for existing local businesses </w:t>
      </w:r>
      <w:r w:rsidR="004D2897">
        <w:t>t</w:t>
      </w:r>
      <w:r>
        <w:t xml:space="preserve">o be able to </w:t>
      </w:r>
      <w:r w:rsidR="00623923">
        <w:t xml:space="preserve">adapt and evolve to </w:t>
      </w:r>
      <w:r w:rsidR="004D2897">
        <w:t>ensure their continued existence. This support also extends to new businesses</w:t>
      </w:r>
      <w:r w:rsidR="007C5E9F">
        <w:t xml:space="preserve"> providing that </w:t>
      </w:r>
      <w:r w:rsidR="004D2897">
        <w:t xml:space="preserve">the visual amenity and sensitivity of our landscape can be </w:t>
      </w:r>
      <w:r w:rsidR="00623923">
        <w:t xml:space="preserve">adequately </w:t>
      </w:r>
      <w:r w:rsidR="004D2897">
        <w:t>protected and that traffic levels and parking can be properly accommodated</w:t>
      </w:r>
      <w:r w:rsidR="007C5E9F">
        <w:t>.</w:t>
      </w:r>
    </w:p>
    <w:p w14:paraId="47614E5E" w14:textId="25FDA439" w:rsidR="004D2897" w:rsidRPr="004D2897" w:rsidRDefault="004D2897" w:rsidP="0073421E">
      <w:pPr>
        <w:rPr>
          <w:b/>
          <w:bCs/>
        </w:rPr>
      </w:pPr>
      <w:r w:rsidRPr="004D2897">
        <w:rPr>
          <w:b/>
          <w:bCs/>
        </w:rPr>
        <w:t xml:space="preserve">Policy BWL E2 Home Working </w:t>
      </w:r>
    </w:p>
    <w:p w14:paraId="351BE71A" w14:textId="0E129375" w:rsidR="007C5E9F" w:rsidRDefault="007C5E9F" w:rsidP="007C5E9F">
      <w:r>
        <w:t>Residents were strongly in favour of policies to encourage small enterprises and working from home.</w:t>
      </w:r>
    </w:p>
    <w:p w14:paraId="22346258" w14:textId="16759453" w:rsidR="00B77EBE" w:rsidRDefault="00665067" w:rsidP="00B77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Stautory and </w:t>
      </w:r>
      <w:r w:rsidR="00B77EBE" w:rsidRPr="00332060">
        <w:rPr>
          <w:b/>
          <w:bCs/>
          <w:sz w:val="28"/>
          <w:szCs w:val="28"/>
        </w:rPr>
        <w:t>Other Responses</w:t>
      </w:r>
    </w:p>
    <w:p w14:paraId="576DF662" w14:textId="77777777" w:rsidR="00B506E4" w:rsidRPr="00B506E4" w:rsidRDefault="00B506E4" w:rsidP="00B50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B506E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Stroud District Council</w:t>
      </w:r>
    </w:p>
    <w:p w14:paraId="3091ECD6" w14:textId="77777777" w:rsidR="00B506E4" w:rsidRPr="00B506E4" w:rsidRDefault="00B506E4" w:rsidP="00B50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B506E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Gloucestershire County Council</w:t>
      </w:r>
    </w:p>
    <w:p w14:paraId="6937A269" w14:textId="77777777" w:rsidR="00B506E4" w:rsidRPr="00B506E4" w:rsidRDefault="00B506E4" w:rsidP="00B50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B506E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Gloucestershire Wildlife Trust</w:t>
      </w:r>
    </w:p>
    <w:p w14:paraId="165E79BA" w14:textId="77777777" w:rsidR="00B506E4" w:rsidRPr="00B506E4" w:rsidRDefault="00B506E4" w:rsidP="00B50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B506E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Brimscombe and Thrupp Parish Council / Chalford Parish Council</w:t>
      </w:r>
    </w:p>
    <w:p w14:paraId="41709768" w14:textId="77777777" w:rsidR="00B506E4" w:rsidRPr="00B506E4" w:rsidRDefault="00B506E4" w:rsidP="00B50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B506E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Stroud Chamber of Commerce</w:t>
      </w:r>
    </w:p>
    <w:p w14:paraId="60EB1816" w14:textId="7AC3136E" w:rsidR="00B506E4" w:rsidRPr="003C6C60" w:rsidRDefault="00B506E4" w:rsidP="00B77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B506E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Historic England (no specific comments but expressed support)</w:t>
      </w:r>
    </w:p>
    <w:p w14:paraId="23322173" w14:textId="46C71152" w:rsidR="00B77EBE" w:rsidRDefault="00073099" w:rsidP="00B77EBE">
      <w:r>
        <w:t>We received a response</w:t>
      </w:r>
      <w:r w:rsidR="00B77EBE">
        <w:t xml:space="preserve"> from the Stroud Chamber of Commerce who encouraged us to support businesses within the parish</w:t>
      </w:r>
      <w:r w:rsidR="005E3F7F">
        <w:t>.</w:t>
      </w:r>
    </w:p>
    <w:p w14:paraId="7357B127" w14:textId="77777777" w:rsidR="003C6C60" w:rsidRDefault="00B77EBE" w:rsidP="00B77EBE">
      <w:r>
        <w:t xml:space="preserve">Stroud District Council provided a response, strongly supporting our draft plan and including a number of helpful and positive suggestions to strengthen the draft plan </w:t>
      </w:r>
      <w:r w:rsidR="00623923">
        <w:t xml:space="preserve">and </w:t>
      </w:r>
      <w:r>
        <w:t xml:space="preserve">to assist the planning inspector </w:t>
      </w:r>
      <w:r w:rsidR="00540710">
        <w:t xml:space="preserve">review </w:t>
      </w:r>
      <w:r>
        <w:t>during the Regulation 16 process.</w:t>
      </w:r>
    </w:p>
    <w:p w14:paraId="47613FCA" w14:textId="68E6A513" w:rsidR="00933CED" w:rsidRDefault="00933CED" w:rsidP="00B77EBE">
      <w:r>
        <w:lastRenderedPageBreak/>
        <w:t>Gloucestershire Wildlife Trust responded positively and with helpful suggestions.</w:t>
      </w:r>
    </w:p>
    <w:p w14:paraId="2A65A892" w14:textId="3CB4B8F5" w:rsidR="00B77EBE" w:rsidRDefault="00B77EBE" w:rsidP="00B77EBE">
      <w:r>
        <w:t>We also</w:t>
      </w:r>
      <w:r w:rsidR="005E3F7F">
        <w:t xml:space="preserve"> received a letter of </w:t>
      </w:r>
      <w:r>
        <w:t xml:space="preserve">support from Chalford </w:t>
      </w:r>
      <w:r w:rsidR="00665067">
        <w:t xml:space="preserve">and Brimscombe &amp; Thrupp </w:t>
      </w:r>
      <w:r>
        <w:t>Parish Council</w:t>
      </w:r>
      <w:r w:rsidR="00665067">
        <w:t>s.</w:t>
      </w:r>
    </w:p>
    <w:p w14:paraId="1900B89E" w14:textId="5F932FB9" w:rsidR="00B77EBE" w:rsidRDefault="00B77EBE" w:rsidP="00B77EBE">
      <w:r>
        <w:t xml:space="preserve">We </w:t>
      </w:r>
      <w:r w:rsidR="005E3F7F">
        <w:t>consulted the full list of o</w:t>
      </w:r>
      <w:r>
        <w:t xml:space="preserve">ther statutory agencies </w:t>
      </w:r>
      <w:r w:rsidR="00933CED">
        <w:t>provided to us by Stroud District council</w:t>
      </w:r>
      <w:r w:rsidR="00665067">
        <w:t>.</w:t>
      </w:r>
    </w:p>
    <w:p w14:paraId="35E36C2B" w14:textId="15AA691B" w:rsidR="0073421E" w:rsidRPr="00332060" w:rsidRDefault="006C189E" w:rsidP="0073421E">
      <w:pPr>
        <w:rPr>
          <w:b/>
          <w:bCs/>
          <w:sz w:val="28"/>
          <w:szCs w:val="28"/>
        </w:rPr>
      </w:pPr>
      <w:r w:rsidRPr="00332060">
        <w:rPr>
          <w:b/>
          <w:bCs/>
          <w:sz w:val="28"/>
          <w:szCs w:val="28"/>
        </w:rPr>
        <w:t xml:space="preserve">Actions since November </w:t>
      </w:r>
      <w:r w:rsidR="00332060">
        <w:rPr>
          <w:b/>
          <w:bCs/>
          <w:sz w:val="28"/>
          <w:szCs w:val="28"/>
        </w:rPr>
        <w:t>28th</w:t>
      </w:r>
    </w:p>
    <w:p w14:paraId="5F6320E5" w14:textId="7568F9F1" w:rsidR="00F50CE7" w:rsidRDefault="006015DF" w:rsidP="0073421E">
      <w:r>
        <w:t xml:space="preserve">Between </w:t>
      </w:r>
      <w:r w:rsidR="005E3F7F">
        <w:t xml:space="preserve">November </w:t>
      </w:r>
      <w:r w:rsidR="00623923">
        <w:t>28</w:t>
      </w:r>
      <w:r w:rsidR="00623923" w:rsidRPr="00623923">
        <w:rPr>
          <w:vertAlign w:val="superscript"/>
        </w:rPr>
        <w:t>th</w:t>
      </w:r>
      <w:r w:rsidR="00623923">
        <w:t xml:space="preserve"> 2025 </w:t>
      </w:r>
      <w:r w:rsidR="005E3F7F">
        <w:t>and January 14</w:t>
      </w:r>
      <w:r w:rsidR="005E3F7F" w:rsidRPr="005E3F7F">
        <w:rPr>
          <w:vertAlign w:val="superscript"/>
        </w:rPr>
        <w:t>th</w:t>
      </w:r>
      <w:r w:rsidR="005E3F7F">
        <w:t xml:space="preserve"> </w:t>
      </w:r>
      <w:r w:rsidR="00623923">
        <w:t xml:space="preserve">2026 </w:t>
      </w:r>
      <w:r w:rsidR="005E3F7F">
        <w:t>the Ste</w:t>
      </w:r>
      <w:r w:rsidR="006C189E">
        <w:t>e</w:t>
      </w:r>
      <w:r w:rsidR="005E3F7F">
        <w:t xml:space="preserve">ring Group </w:t>
      </w:r>
      <w:r w:rsidR="00536417">
        <w:t>undertook an intens</w:t>
      </w:r>
      <w:r w:rsidR="00E20354">
        <w:t>ive</w:t>
      </w:r>
      <w:r w:rsidR="00536417">
        <w:t xml:space="preserve"> </w:t>
      </w:r>
      <w:r w:rsidR="005E3F7F">
        <w:t>review</w:t>
      </w:r>
      <w:r w:rsidR="00536417">
        <w:t xml:space="preserve"> </w:t>
      </w:r>
      <w:r>
        <w:t xml:space="preserve">and analysis </w:t>
      </w:r>
      <w:r w:rsidR="00536417">
        <w:t>of</w:t>
      </w:r>
      <w:r w:rsidR="005E3F7F">
        <w:t xml:space="preserve"> every individual </w:t>
      </w:r>
      <w:r w:rsidR="0073421E">
        <w:t>comment received</w:t>
      </w:r>
      <w:r w:rsidR="005E3F7F">
        <w:t xml:space="preserve">, </w:t>
      </w:r>
      <w:r w:rsidR="00960EAE">
        <w:t xml:space="preserve">particularly where a policy attracted responses where support was withheld or unsure, </w:t>
      </w:r>
      <w:r w:rsidR="00073099">
        <w:t>in order to</w:t>
      </w:r>
      <w:r w:rsidR="00F50CE7">
        <w:t xml:space="preserve"> understand the </w:t>
      </w:r>
      <w:r>
        <w:t xml:space="preserve">underlying </w:t>
      </w:r>
      <w:r w:rsidR="00F50CE7">
        <w:t>reasons</w:t>
      </w:r>
      <w:r>
        <w:t>.</w:t>
      </w:r>
    </w:p>
    <w:p w14:paraId="0718D081" w14:textId="77777777" w:rsidR="006015DF" w:rsidRPr="006015DF" w:rsidRDefault="006015DF" w:rsidP="006015DF">
      <w:pPr>
        <w:rPr>
          <w:lang w:val="en-US"/>
        </w:rPr>
      </w:pPr>
      <w:r w:rsidRPr="006015DF">
        <w:rPr>
          <w:lang w:val="en-US"/>
        </w:rPr>
        <w:t>Many of your comments were perceptive and helpful and gave us a really good insight into the amendments required for the final Plan.</w:t>
      </w:r>
    </w:p>
    <w:p w14:paraId="30572DB2" w14:textId="695F1CD0" w:rsidR="006015DF" w:rsidRPr="006015DF" w:rsidRDefault="006015DF" w:rsidP="0073421E">
      <w:pPr>
        <w:rPr>
          <w:lang w:val="en-US"/>
        </w:rPr>
      </w:pPr>
      <w:r>
        <w:t xml:space="preserve">The comprehensive analysis that was undertaken enabled decisions to be </w:t>
      </w:r>
      <w:r w:rsidR="00F50CE7">
        <w:t xml:space="preserve">made </w:t>
      </w:r>
      <w:r w:rsidR="00073099">
        <w:t>regarding</w:t>
      </w:r>
      <w:r w:rsidR="005E3F7F">
        <w:t xml:space="preserve"> </w:t>
      </w:r>
      <w:r w:rsidR="005D707D">
        <w:t xml:space="preserve">the </w:t>
      </w:r>
      <w:r w:rsidR="005E3F7F">
        <w:t xml:space="preserve">amendments </w:t>
      </w:r>
      <w:r>
        <w:t xml:space="preserve">required </w:t>
      </w:r>
      <w:r w:rsidR="005E3F7F">
        <w:t>to both polic</w:t>
      </w:r>
      <w:r w:rsidR="002170CB">
        <w:t xml:space="preserve">y </w:t>
      </w:r>
      <w:r w:rsidR="005E3F7F">
        <w:t xml:space="preserve">and supporting text </w:t>
      </w:r>
      <w:r w:rsidR="002170CB">
        <w:t xml:space="preserve">as </w:t>
      </w:r>
      <w:r w:rsidR="0073421E">
        <w:t xml:space="preserve">appropriate </w:t>
      </w:r>
      <w:r w:rsidR="006C189E">
        <w:t>change</w:t>
      </w:r>
      <w:r w:rsidR="0073421E">
        <w:t>s to th</w:t>
      </w:r>
      <w:r w:rsidR="005D707D">
        <w:t>e</w:t>
      </w:r>
      <w:r w:rsidR="002170CB">
        <w:t xml:space="preserve"> Plan</w:t>
      </w:r>
      <w:r>
        <w:t xml:space="preserve"> and </w:t>
      </w:r>
      <w:r w:rsidRPr="006015DF">
        <w:rPr>
          <w:lang w:val="en-US"/>
        </w:rPr>
        <w:t>ensure</w:t>
      </w:r>
      <w:r>
        <w:rPr>
          <w:lang w:val="en-US"/>
        </w:rPr>
        <w:t>d</w:t>
      </w:r>
      <w:r w:rsidRPr="006015DF">
        <w:rPr>
          <w:lang w:val="en-US"/>
        </w:rPr>
        <w:t xml:space="preserve"> that the communities’ voice </w:t>
      </w:r>
      <w:r w:rsidR="005D707D">
        <w:rPr>
          <w:lang w:val="en-US"/>
        </w:rPr>
        <w:t>was</w:t>
      </w:r>
      <w:r w:rsidRPr="006015DF">
        <w:rPr>
          <w:lang w:val="en-US"/>
        </w:rPr>
        <w:t xml:space="preserve"> at the heart of the amendments</w:t>
      </w:r>
      <w:r w:rsidR="005D707D">
        <w:rPr>
          <w:lang w:val="en-US"/>
        </w:rPr>
        <w:t xml:space="preserve"> to the Plan </w:t>
      </w:r>
      <w:r>
        <w:rPr>
          <w:lang w:val="en-US"/>
        </w:rPr>
        <w:t xml:space="preserve">and </w:t>
      </w:r>
      <w:r w:rsidR="005D707D">
        <w:rPr>
          <w:lang w:val="en-US"/>
        </w:rPr>
        <w:t xml:space="preserve">therefore </w:t>
      </w:r>
      <w:r>
        <w:rPr>
          <w:lang w:val="en-US"/>
        </w:rPr>
        <w:t>strengthening it</w:t>
      </w:r>
      <w:r w:rsidR="005D707D">
        <w:rPr>
          <w:lang w:val="en-US"/>
        </w:rPr>
        <w:t>s</w:t>
      </w:r>
      <w:r>
        <w:rPr>
          <w:lang w:val="en-US"/>
        </w:rPr>
        <w:t xml:space="preserve"> </w:t>
      </w:r>
      <w:r w:rsidR="005D707D">
        <w:rPr>
          <w:lang w:val="en-US"/>
        </w:rPr>
        <w:t>credibility.</w:t>
      </w:r>
    </w:p>
    <w:p w14:paraId="693B1751" w14:textId="77777777" w:rsidR="00765599" w:rsidRPr="00332060" w:rsidRDefault="00765599" w:rsidP="0073421E">
      <w:pPr>
        <w:rPr>
          <w:b/>
          <w:bCs/>
          <w:sz w:val="28"/>
          <w:szCs w:val="28"/>
        </w:rPr>
      </w:pPr>
      <w:r w:rsidRPr="00332060">
        <w:rPr>
          <w:b/>
          <w:bCs/>
          <w:sz w:val="28"/>
          <w:szCs w:val="28"/>
        </w:rPr>
        <w:t>Next Steps</w:t>
      </w:r>
    </w:p>
    <w:p w14:paraId="223BCA3A" w14:textId="020B1767" w:rsidR="0073421E" w:rsidRDefault="0073421E" w:rsidP="0073421E">
      <w:r>
        <w:t>The finished</w:t>
      </w:r>
      <w:r w:rsidR="00765599">
        <w:t xml:space="preserve"> Regulation 16</w:t>
      </w:r>
      <w:r>
        <w:t xml:space="preserve"> </w:t>
      </w:r>
      <w:r w:rsidR="00B80E9F">
        <w:t xml:space="preserve">version of the </w:t>
      </w:r>
      <w:r>
        <w:t xml:space="preserve">Plan will be </w:t>
      </w:r>
      <w:r w:rsidR="00765599">
        <w:t xml:space="preserve">submitted to Stroud District Council </w:t>
      </w:r>
      <w:r w:rsidR="00665067">
        <w:t>on</w:t>
      </w:r>
      <w:r w:rsidR="00765599">
        <w:t xml:space="preserve"> February 9</w:t>
      </w:r>
      <w:r w:rsidR="00766895">
        <w:rPr>
          <w:vertAlign w:val="superscript"/>
        </w:rPr>
        <w:t xml:space="preserve">th </w:t>
      </w:r>
      <w:r w:rsidR="00766895">
        <w:t>2026</w:t>
      </w:r>
      <w:r w:rsidR="00765599">
        <w:t xml:space="preserve"> </w:t>
      </w:r>
      <w:r>
        <w:t>who will supervise the remaining stages</w:t>
      </w:r>
      <w:r w:rsidR="00766895">
        <w:t xml:space="preserve"> of the process</w:t>
      </w:r>
      <w:r w:rsidR="00B80E9F">
        <w:t>.</w:t>
      </w:r>
    </w:p>
    <w:p w14:paraId="6AC9DD8C" w14:textId="0D9C1740" w:rsidR="0073421E" w:rsidRDefault="00765599" w:rsidP="0073421E">
      <w:r>
        <w:t>This will include an</w:t>
      </w:r>
      <w:r w:rsidR="0073421E">
        <w:t xml:space="preserve"> </w:t>
      </w:r>
      <w:r>
        <w:t xml:space="preserve">examination and </w:t>
      </w:r>
      <w:r w:rsidR="0073421E">
        <w:t xml:space="preserve">assessment by an independent </w:t>
      </w:r>
      <w:r>
        <w:t>Government planning Inspector</w:t>
      </w:r>
      <w:r w:rsidR="00D10BAC">
        <w:t xml:space="preserve">, </w:t>
      </w:r>
      <w:r w:rsidR="0073421E">
        <w:t xml:space="preserve">a further consultation </w:t>
      </w:r>
      <w:r>
        <w:t>with statutory consultees and ultimately feedback to the parish council on any further amendments required. This is likely to take around six months</w:t>
      </w:r>
      <w:r w:rsidR="00766895">
        <w:t>.</w:t>
      </w:r>
    </w:p>
    <w:p w14:paraId="7E5D996F" w14:textId="6FC24548" w:rsidR="00765599" w:rsidRDefault="00765599" w:rsidP="0073421E">
      <w:r>
        <w:t>Following examination and any further amendments required</w:t>
      </w:r>
      <w:r w:rsidR="00766895">
        <w:t>,</w:t>
      </w:r>
      <w:r>
        <w:t xml:space="preserve"> Stroud District Council will </w:t>
      </w:r>
      <w:r w:rsidR="00766895">
        <w:t xml:space="preserve">then </w:t>
      </w:r>
      <w:r>
        <w:t xml:space="preserve">organise </w:t>
      </w:r>
      <w:r w:rsidR="0073421E">
        <w:t xml:space="preserve">a parish referendum </w:t>
      </w:r>
      <w:r>
        <w:t xml:space="preserve">where residents can vote </w:t>
      </w:r>
      <w:r w:rsidR="0073421E">
        <w:t xml:space="preserve">to decide whether the Plan is </w:t>
      </w:r>
      <w:r>
        <w:t xml:space="preserve">to be </w:t>
      </w:r>
      <w:r w:rsidR="0073421E">
        <w:t>adopted</w:t>
      </w:r>
      <w:r>
        <w:t>.</w:t>
      </w:r>
    </w:p>
    <w:p w14:paraId="48353256" w14:textId="552F316E" w:rsidR="00C962E5" w:rsidRDefault="00C962E5" w:rsidP="0073421E">
      <w:r>
        <w:t>We hope this will be during the summer.</w:t>
      </w:r>
    </w:p>
    <w:p w14:paraId="49A737D9" w14:textId="61B0B923" w:rsidR="00853F42" w:rsidRDefault="00765599" w:rsidP="0073421E">
      <w:r>
        <w:t>If and when hopefully th</w:t>
      </w:r>
      <w:r w:rsidR="00C962E5">
        <w:t>e referendum vote</w:t>
      </w:r>
      <w:r>
        <w:t xml:space="preserve"> is </w:t>
      </w:r>
      <w:r w:rsidR="00960EAE">
        <w:t>‘</w:t>
      </w:r>
      <w:r>
        <w:t>yes</w:t>
      </w:r>
      <w:r w:rsidR="00960EAE">
        <w:t>’</w:t>
      </w:r>
      <w:r>
        <w:t xml:space="preserve"> the plan </w:t>
      </w:r>
      <w:r w:rsidR="00960EAE">
        <w:t xml:space="preserve">thereafter </w:t>
      </w:r>
      <w:r w:rsidR="008F0415">
        <w:t>will be</w:t>
      </w:r>
      <w:r w:rsidR="00C962E5">
        <w:t xml:space="preserve"> </w:t>
      </w:r>
      <w:r w:rsidR="00960EAE">
        <w:t>formally adopted by Stroud District Council.</w:t>
      </w:r>
    </w:p>
    <w:p w14:paraId="625841E2" w14:textId="3DBAE7EE" w:rsidR="00C962E5" w:rsidRPr="000420F8" w:rsidRDefault="000420F8" w:rsidP="007342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Further </w:t>
      </w:r>
      <w:r w:rsidR="00C962E5" w:rsidRPr="000420F8">
        <w:rPr>
          <w:b/>
          <w:bCs/>
          <w:sz w:val="28"/>
          <w:szCs w:val="28"/>
        </w:rPr>
        <w:t>Information</w:t>
      </w:r>
    </w:p>
    <w:p w14:paraId="3426E71A" w14:textId="537C9F92" w:rsidR="00D10BAC" w:rsidRDefault="00C962E5" w:rsidP="0073421E">
      <w:r>
        <w:t>A fu</w:t>
      </w:r>
      <w:r w:rsidR="00D10BAC">
        <w:t>ll record of the following is</w:t>
      </w:r>
      <w:r>
        <w:t xml:space="preserve"> available in the Neighbourhood plan section of the Parsh Council website</w:t>
      </w:r>
      <w:r w:rsidR="00665067">
        <w:t xml:space="preserve"> </w:t>
      </w:r>
      <w:r w:rsidR="00270E32">
        <w:t>b</w:t>
      </w:r>
      <w:r w:rsidR="00665067">
        <w:t>isley-with-Lypiatt</w:t>
      </w:r>
      <w:r w:rsidR="00270E32">
        <w:t>.gov.uk</w:t>
      </w:r>
      <w:r w:rsidR="00665067">
        <w:t xml:space="preserve"> and on the Neighbourhood Plan website </w:t>
      </w:r>
      <w:r w:rsidR="00AB42DD">
        <w:t>bisle</w:t>
      </w:r>
      <w:r w:rsidR="00665067">
        <w:t>syeastcombeoakridge</w:t>
      </w:r>
      <w:r w:rsidR="00AB42DD">
        <w:t>ndp2030.org.uk</w:t>
      </w:r>
    </w:p>
    <w:p w14:paraId="5ACD6F43" w14:textId="0AE8D60B" w:rsidR="00C962E5" w:rsidRDefault="00C962E5" w:rsidP="00C962E5">
      <w:pPr>
        <w:pStyle w:val="ListParagraph"/>
        <w:numPr>
          <w:ilvl w:val="0"/>
          <w:numId w:val="1"/>
        </w:numPr>
      </w:pPr>
      <w:r>
        <w:t>Responses and the BWL steering group‘s review</w:t>
      </w:r>
      <w:r w:rsidR="00766895">
        <w:t>s</w:t>
      </w:r>
      <w:r>
        <w:t>, commentary and actions.</w:t>
      </w:r>
    </w:p>
    <w:p w14:paraId="256287EB" w14:textId="16981D4D" w:rsidR="00C962E5" w:rsidRDefault="00C962E5" w:rsidP="00C962E5">
      <w:pPr>
        <w:pStyle w:val="ListParagraph"/>
        <w:numPr>
          <w:ilvl w:val="0"/>
          <w:numId w:val="1"/>
        </w:numPr>
      </w:pPr>
      <w:r>
        <w:t>Amended Regulation 16 version of the Neighbourhood Plan</w:t>
      </w:r>
      <w:r w:rsidR="00665067">
        <w:t xml:space="preserve"> (</w:t>
      </w:r>
      <w:r w:rsidR="00AB42DD">
        <w:t xml:space="preserve">after </w:t>
      </w:r>
      <w:r w:rsidR="00665067">
        <w:t>February 9</w:t>
      </w:r>
      <w:r w:rsidR="00665067" w:rsidRPr="00665067">
        <w:rPr>
          <w:vertAlign w:val="superscript"/>
        </w:rPr>
        <w:t>th</w:t>
      </w:r>
      <w:r w:rsidR="00665067">
        <w:t xml:space="preserve"> 2026)</w:t>
      </w:r>
    </w:p>
    <w:p w14:paraId="30B855DF" w14:textId="64A8BEF4" w:rsidR="00766895" w:rsidRDefault="00C962E5" w:rsidP="00384376">
      <w:pPr>
        <w:pStyle w:val="ListParagraph"/>
        <w:numPr>
          <w:ilvl w:val="0"/>
          <w:numId w:val="1"/>
        </w:numPr>
      </w:pPr>
      <w:r>
        <w:t>Full Consultation sta</w:t>
      </w:r>
      <w:r w:rsidR="00384376">
        <w:t>tement to accompany the Regulation 16 submission.</w:t>
      </w:r>
      <w:r w:rsidR="00AB42DD">
        <w:t xml:space="preserve"> (after February 9</w:t>
      </w:r>
      <w:r w:rsidR="00AB42DD" w:rsidRPr="00AB42DD">
        <w:rPr>
          <w:vertAlign w:val="superscript"/>
        </w:rPr>
        <w:t>th</w:t>
      </w:r>
      <w:r w:rsidR="00AB42DD">
        <w:t xml:space="preserve"> 2026)</w:t>
      </w:r>
    </w:p>
    <w:p w14:paraId="570E5337" w14:textId="38B28862" w:rsidR="00384376" w:rsidRDefault="00384376" w:rsidP="00384376">
      <w:pPr>
        <w:pStyle w:val="ListParagraph"/>
        <w:numPr>
          <w:ilvl w:val="0"/>
          <w:numId w:val="1"/>
        </w:numPr>
      </w:pPr>
      <w:r>
        <w:t>All other statutory documentation required to accompany the Regulation16 submission.</w:t>
      </w:r>
      <w:r w:rsidR="00AB42DD">
        <w:t xml:space="preserve"> (after February 9</w:t>
      </w:r>
      <w:r w:rsidR="00AB42DD" w:rsidRPr="00AB42DD">
        <w:rPr>
          <w:vertAlign w:val="superscript"/>
        </w:rPr>
        <w:t>th</w:t>
      </w:r>
      <w:r w:rsidR="00AB42DD">
        <w:t>2026)</w:t>
      </w:r>
    </w:p>
    <w:p w14:paraId="0F70FBE2" w14:textId="15701C33" w:rsidR="00665067" w:rsidRDefault="00665067" w:rsidP="00665067">
      <w:r>
        <w:t>Thank You</w:t>
      </w:r>
    </w:p>
    <w:p w14:paraId="458710DA" w14:textId="6E6F0375" w:rsidR="00665067" w:rsidRDefault="00665067" w:rsidP="00384376">
      <w:r>
        <w:t>The Bisley-with-Lypiatt NP Steering Group</w:t>
      </w:r>
    </w:p>
    <w:sectPr w:rsidR="00665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660"/>
    <w:multiLevelType w:val="multilevel"/>
    <w:tmpl w:val="2AE2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D7926"/>
    <w:multiLevelType w:val="hybridMultilevel"/>
    <w:tmpl w:val="122A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5034">
    <w:abstractNumId w:val="1"/>
  </w:num>
  <w:num w:numId="2" w16cid:durableId="35588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E4F"/>
    <w:rsid w:val="00035DBC"/>
    <w:rsid w:val="000420F8"/>
    <w:rsid w:val="00073099"/>
    <w:rsid w:val="00073442"/>
    <w:rsid w:val="000B4270"/>
    <w:rsid w:val="001032E0"/>
    <w:rsid w:val="00115C7A"/>
    <w:rsid w:val="00127583"/>
    <w:rsid w:val="001969FF"/>
    <w:rsid w:val="002045DE"/>
    <w:rsid w:val="002170CB"/>
    <w:rsid w:val="00234548"/>
    <w:rsid w:val="00270E32"/>
    <w:rsid w:val="002A2672"/>
    <w:rsid w:val="002B1EA5"/>
    <w:rsid w:val="002B731A"/>
    <w:rsid w:val="002E1C25"/>
    <w:rsid w:val="00314D15"/>
    <w:rsid w:val="0032232D"/>
    <w:rsid w:val="00330570"/>
    <w:rsid w:val="00332060"/>
    <w:rsid w:val="0035069D"/>
    <w:rsid w:val="00384376"/>
    <w:rsid w:val="003B20BE"/>
    <w:rsid w:val="003C6C60"/>
    <w:rsid w:val="003E0090"/>
    <w:rsid w:val="003E35E7"/>
    <w:rsid w:val="004D2897"/>
    <w:rsid w:val="004D7545"/>
    <w:rsid w:val="00507E75"/>
    <w:rsid w:val="00536417"/>
    <w:rsid w:val="00540710"/>
    <w:rsid w:val="00561834"/>
    <w:rsid w:val="005851E5"/>
    <w:rsid w:val="00587CCC"/>
    <w:rsid w:val="005D707D"/>
    <w:rsid w:val="005E3F7F"/>
    <w:rsid w:val="006015DF"/>
    <w:rsid w:val="00623923"/>
    <w:rsid w:val="00630772"/>
    <w:rsid w:val="00665067"/>
    <w:rsid w:val="0067239C"/>
    <w:rsid w:val="006759DD"/>
    <w:rsid w:val="006A31D7"/>
    <w:rsid w:val="006C189E"/>
    <w:rsid w:val="006F3BF6"/>
    <w:rsid w:val="0073421E"/>
    <w:rsid w:val="00765599"/>
    <w:rsid w:val="00766895"/>
    <w:rsid w:val="007C5E9F"/>
    <w:rsid w:val="00810985"/>
    <w:rsid w:val="00853F42"/>
    <w:rsid w:val="008575A9"/>
    <w:rsid w:val="0087088F"/>
    <w:rsid w:val="008732EA"/>
    <w:rsid w:val="00876467"/>
    <w:rsid w:val="008F0415"/>
    <w:rsid w:val="00905A7E"/>
    <w:rsid w:val="00927EDA"/>
    <w:rsid w:val="00933CED"/>
    <w:rsid w:val="00960BF9"/>
    <w:rsid w:val="00960EAE"/>
    <w:rsid w:val="00A008C7"/>
    <w:rsid w:val="00A23E44"/>
    <w:rsid w:val="00A54CEE"/>
    <w:rsid w:val="00AB42DD"/>
    <w:rsid w:val="00AE30D2"/>
    <w:rsid w:val="00B205EA"/>
    <w:rsid w:val="00B21170"/>
    <w:rsid w:val="00B506E4"/>
    <w:rsid w:val="00B77EBE"/>
    <w:rsid w:val="00B80E9F"/>
    <w:rsid w:val="00B87AFD"/>
    <w:rsid w:val="00BA6A9B"/>
    <w:rsid w:val="00C2250A"/>
    <w:rsid w:val="00C962E5"/>
    <w:rsid w:val="00C97C59"/>
    <w:rsid w:val="00CA2BCA"/>
    <w:rsid w:val="00CE1BCA"/>
    <w:rsid w:val="00D10BAC"/>
    <w:rsid w:val="00D50E4F"/>
    <w:rsid w:val="00D966F4"/>
    <w:rsid w:val="00DA3401"/>
    <w:rsid w:val="00DA7C66"/>
    <w:rsid w:val="00DC5086"/>
    <w:rsid w:val="00DD71F5"/>
    <w:rsid w:val="00E16A18"/>
    <w:rsid w:val="00E20354"/>
    <w:rsid w:val="00E42AB4"/>
    <w:rsid w:val="00E95263"/>
    <w:rsid w:val="00EA2182"/>
    <w:rsid w:val="00F34009"/>
    <w:rsid w:val="00F50CE7"/>
    <w:rsid w:val="00F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E9D"/>
  <w15:docId w15:val="{C2817C72-9E50-4CE7-B474-F861B75D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E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E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E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E4F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E5663-047C-497F-ADCE-66312B03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Greves</dc:creator>
  <cp:lastModifiedBy>Ian Greves</cp:lastModifiedBy>
  <cp:revision>5</cp:revision>
  <dcterms:created xsi:type="dcterms:W3CDTF">2026-01-28T12:00:00Z</dcterms:created>
  <dcterms:modified xsi:type="dcterms:W3CDTF">2026-01-31T13:25:00Z</dcterms:modified>
</cp:coreProperties>
</file>